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527" w:rsidRPr="00FB6E0F" w:rsidRDefault="00DD3527" w:rsidP="00FB6E0F">
      <w:pPr>
        <w:spacing w:after="12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B6E0F">
        <w:rPr>
          <w:rFonts w:ascii="Times New Roman" w:hAnsi="Times New Roman" w:cs="Times New Roman"/>
          <w:b/>
          <w:bCs/>
          <w:sz w:val="24"/>
          <w:szCs w:val="24"/>
        </w:rPr>
        <w:t>Apresentação</w:t>
      </w:r>
    </w:p>
    <w:p w:rsidR="00DD3527" w:rsidRPr="00FB6E0F" w:rsidRDefault="00DD3527" w:rsidP="00FB6E0F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B6E0F">
        <w:rPr>
          <w:rFonts w:ascii="Times New Roman" w:hAnsi="Times New Roman" w:cs="Times New Roman"/>
          <w:sz w:val="24"/>
          <w:szCs w:val="24"/>
        </w:rPr>
        <w:t xml:space="preserve">Estamos lançando o volume 01 da 17ª. edição da revista BASE. Nosso primeiro volume do ano de 2020, composto por seis artigos – três de Administração e três </w:t>
      </w:r>
      <w:proofErr w:type="gramStart"/>
      <w:r w:rsidRPr="00FB6E0F">
        <w:rPr>
          <w:rFonts w:ascii="Times New Roman" w:hAnsi="Times New Roman" w:cs="Times New Roman"/>
          <w:sz w:val="24"/>
          <w:szCs w:val="24"/>
        </w:rPr>
        <w:t>de</w:t>
      </w:r>
      <w:r w:rsidR="000E2B9A">
        <w:rPr>
          <w:rFonts w:ascii="Times New Roman" w:hAnsi="Times New Roman" w:cs="Times New Roman"/>
          <w:sz w:val="24"/>
          <w:szCs w:val="24"/>
        </w:rPr>
        <w:t xml:space="preserve"> </w:t>
      </w:r>
      <w:r w:rsidRPr="00FB6E0F">
        <w:rPr>
          <w:rFonts w:ascii="Times New Roman" w:hAnsi="Times New Roman" w:cs="Times New Roman"/>
          <w:sz w:val="24"/>
          <w:szCs w:val="24"/>
        </w:rPr>
        <w:t>Contábeis</w:t>
      </w:r>
      <w:proofErr w:type="gramEnd"/>
      <w:r w:rsidRPr="00FB6E0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D3527" w:rsidRPr="00FB6E0F" w:rsidRDefault="00DD3527" w:rsidP="00FB6E0F">
      <w:pPr>
        <w:spacing w:after="120" w:line="360" w:lineRule="auto"/>
        <w:ind w:firstLine="709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FB6E0F">
        <w:rPr>
          <w:rFonts w:ascii="Times New Roman" w:hAnsi="Times New Roman" w:cs="Times New Roman"/>
          <w:sz w:val="24"/>
          <w:szCs w:val="24"/>
        </w:rPr>
        <w:t>O primeiro artigo, “</w:t>
      </w:r>
      <w:proofErr w:type="spellStart"/>
      <w:r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Permanence</w:t>
      </w:r>
      <w:proofErr w:type="spellEnd"/>
      <w:r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Abroad</w:t>
      </w:r>
      <w:proofErr w:type="spellEnd"/>
      <w:r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and</w:t>
      </w:r>
      <w:proofErr w:type="spellEnd"/>
      <w:r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Strategic</w:t>
      </w:r>
      <w:proofErr w:type="spellEnd"/>
      <w:r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Renewal</w:t>
      </w:r>
      <w:proofErr w:type="spellEnd"/>
      <w:r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of</w:t>
      </w:r>
      <w:proofErr w:type="spellEnd"/>
      <w:r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Digital Born Global </w:t>
      </w:r>
      <w:proofErr w:type="spellStart"/>
      <w:r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from</w:t>
      </w:r>
      <w:proofErr w:type="spellEnd"/>
      <w:r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</w:t>
      </w:r>
      <w:proofErr w:type="spellEnd"/>
      <w:r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Emerging</w:t>
      </w:r>
      <w:proofErr w:type="spellEnd"/>
      <w:r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Market: a Case </w:t>
      </w:r>
      <w:proofErr w:type="spellStart"/>
      <w:r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Study</w:t>
      </w:r>
      <w:proofErr w:type="spellEnd"/>
      <w:r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”, </w:t>
      </w:r>
      <w:r w:rsidRPr="00FB6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proofErr w:type="spellStart"/>
      <w:r w:rsidRPr="00FB6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Rossato</w:t>
      </w:r>
      <w:proofErr w:type="spellEnd"/>
      <w:r w:rsidRPr="00FB6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Pr="00FB6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Floriani</w:t>
      </w:r>
      <w:proofErr w:type="spellEnd"/>
      <w:r w:rsidRPr="00FB6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proofErr w:type="spellStart"/>
      <w:r w:rsidRPr="00FB6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Amal</w:t>
      </w:r>
      <w:proofErr w:type="spellEnd"/>
      <w:r w:rsidRPr="00FB6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FB6E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investiga a influência da renovação estratégica na permanência no exterior de </w:t>
      </w:r>
      <w:proofErr w:type="spellStart"/>
      <w:r w:rsidRPr="00FB6E0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born</w:t>
      </w:r>
      <w:proofErr w:type="spellEnd"/>
      <w:r w:rsidRPr="00FB6E0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FB6E0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globals</w:t>
      </w:r>
      <w:proofErr w:type="spellEnd"/>
      <w:r w:rsidRPr="00FB6E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mercados emergentes.</w:t>
      </w:r>
      <w:r w:rsidRPr="00FB6E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segundo artigo, “</w:t>
      </w:r>
      <w:r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Investimento em Recursos Intangíveis de Relacionamento e o Desempenho no Setor do Agronegócio: Análise do Caso JBS-Friboi</w:t>
      </w:r>
      <w:r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”</w:t>
      </w:r>
      <w:r w:rsid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FB6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Pires, </w:t>
      </w:r>
      <w:proofErr w:type="spellStart"/>
      <w:r w:rsidRPr="00FB6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Fedato</w:t>
      </w:r>
      <w:proofErr w:type="spellEnd"/>
      <w:r w:rsidRPr="00FB6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proofErr w:type="spellStart"/>
      <w:r w:rsidRPr="00FB6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Trez</w:t>
      </w:r>
      <w:proofErr w:type="spellEnd"/>
      <w:r w:rsidRPr="00FB6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investiga a relação entre a posse de recursos intangíveis de relacionamento e o desempenho organizacional. O último artigo da área de Administração,</w:t>
      </w:r>
      <w:r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“</w:t>
      </w:r>
      <w:r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de conhecimento entre universidade e empresa (U-E): influência das condições universitárias</w:t>
      </w:r>
      <w:r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” </w:t>
      </w:r>
      <w:r w:rsidRPr="00FB6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Diniz, Mendonça, Siqueira e Santos analisa a influência das condições universitárias no</w:t>
      </w:r>
      <w:r w:rsidRPr="00FB6E0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desempenho da transferência de conhecimento (TC) entre uma universidade e suas empresas parceiras</w:t>
      </w:r>
      <w:r w:rsidRPr="00FB6E0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</w:p>
    <w:p w:rsidR="00DD3527" w:rsidRPr="00FB6E0F" w:rsidRDefault="00DD3527" w:rsidP="00FB6E0F">
      <w:pPr>
        <w:spacing w:after="12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6E0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Já na área de Contábeis, o quarto artigo, “</w:t>
      </w:r>
      <w:r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conservadorismo condicional nas demonstrações financeiras das incorporações de capital aberto no Brasil</w:t>
      </w:r>
      <w:r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”</w:t>
      </w:r>
      <w:r w:rsid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FB6E0F" w:rsidRPr="00FB6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</w:t>
      </w:r>
      <w:r w:rsidRPr="00FB6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FB6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Loenert</w:t>
      </w:r>
      <w:proofErr w:type="spellEnd"/>
      <w:r w:rsidRPr="00FB6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Silva, </w:t>
      </w:r>
      <w:r w:rsidR="00FB6E0F" w:rsidRPr="00FB6E0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an</w:t>
      </w:r>
      <w:r w:rsidR="00FB6E0F" w:rsidRPr="00FB6E0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alisa</w:t>
      </w:r>
      <w:r w:rsidR="00FB6E0F" w:rsidRPr="00FB6E0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</w:t>
      </w:r>
      <w:r w:rsidR="00FB6E0F" w:rsidRPr="00FB6E0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o conservadorismo condicional das incorporadoras de capital aberto no Brasil.</w:t>
      </w:r>
      <w:r w:rsidR="00FB6E0F" w:rsidRPr="00FB6E0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O quinto artigo, de Góis e Parente, “</w:t>
      </w:r>
      <w:proofErr w:type="spellStart"/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Earnings</w:t>
      </w:r>
      <w:proofErr w:type="spellEnd"/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management </w:t>
      </w:r>
      <w:proofErr w:type="spellStart"/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by</w:t>
      </w:r>
      <w:proofErr w:type="spellEnd"/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classification</w:t>
      </w:r>
      <w:proofErr w:type="spellEnd"/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shifting</w:t>
      </w:r>
      <w:proofErr w:type="spellEnd"/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and</w:t>
      </w:r>
      <w:proofErr w:type="spellEnd"/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corporate</w:t>
      </w:r>
      <w:proofErr w:type="spellEnd"/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governance</w:t>
      </w:r>
      <w:proofErr w:type="spellEnd"/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in </w:t>
      </w:r>
      <w:proofErr w:type="spellStart"/>
      <w:r w:rsid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</w:t>
      </w:r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razil</w:t>
      </w:r>
      <w:proofErr w:type="spellEnd"/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”, </w:t>
      </w:r>
      <w:r w:rsidR="00FB6E0F" w:rsidRPr="00FB6E0F">
        <w:rPr>
          <w:rFonts w:ascii="Times New Roman" w:eastAsia="Times New Roman" w:hAnsi="Times New Roman" w:cs="Times New Roman"/>
          <w:sz w:val="24"/>
          <w:szCs w:val="24"/>
          <w:lang w:eastAsia="pt-BR"/>
        </w:rPr>
        <w:t>estudou</w:t>
      </w:r>
      <w:r w:rsidR="00FB6E0F" w:rsidRPr="00FB6E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influência da governança corporativa no gerenciamento de resultados por mudança de classificação.</w:t>
      </w:r>
      <w:r w:rsidR="00FB6E0F" w:rsidRPr="00FB6E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Finalmente, o sexto e último artigo deste número, “</w:t>
      </w:r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R&amp;D </w:t>
      </w:r>
      <w:proofErr w:type="spellStart"/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Expenses</w:t>
      </w:r>
      <w:proofErr w:type="spellEnd"/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and</w:t>
      </w:r>
      <w:proofErr w:type="spellEnd"/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the</w:t>
      </w:r>
      <w:proofErr w:type="spellEnd"/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Expectation</w:t>
      </w:r>
      <w:proofErr w:type="spellEnd"/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of</w:t>
      </w:r>
      <w:proofErr w:type="spellEnd"/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Value</w:t>
      </w:r>
      <w:proofErr w:type="spellEnd"/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Generation</w:t>
      </w:r>
      <w:proofErr w:type="spellEnd"/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in </w:t>
      </w:r>
      <w:proofErr w:type="spellStart"/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Brazilian</w:t>
      </w:r>
      <w:proofErr w:type="spellEnd"/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Firms</w:t>
      </w:r>
      <w:proofErr w:type="spellEnd"/>
      <w:r w:rsidR="00FB6E0F" w:rsidRPr="00FB6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” </w:t>
      </w:r>
      <w:r w:rsidR="00FB6E0F" w:rsidRPr="00FB6E0F">
        <w:rPr>
          <w:rFonts w:ascii="Times New Roman" w:eastAsia="Times New Roman" w:hAnsi="Times New Roman" w:cs="Times New Roman"/>
          <w:sz w:val="24"/>
          <w:szCs w:val="24"/>
          <w:lang w:eastAsia="pt-BR"/>
        </w:rPr>
        <w:t>tem o objetivo de verificar a existência de relação causal entre os gastos com P&amp;D não ativados pela Contabilidade,</w:t>
      </w:r>
      <w:r w:rsidR="00FB6E0F" w:rsidRPr="00FB6E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considerando-o uma </w:t>
      </w:r>
      <w:r w:rsidR="00FB6E0F" w:rsidRPr="00FB6E0F">
        <w:rPr>
          <w:rFonts w:ascii="Times New Roman" w:eastAsia="Times New Roman" w:hAnsi="Times New Roman" w:cs="Times New Roman"/>
          <w:sz w:val="24"/>
          <w:szCs w:val="24"/>
          <w:lang w:eastAsia="pt-BR"/>
        </w:rPr>
        <w:t>proxy para inovação, e o índice book-</w:t>
      </w:r>
      <w:proofErr w:type="spellStart"/>
      <w:r w:rsidR="00FB6E0F" w:rsidRPr="00FB6E0F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="00FB6E0F" w:rsidRPr="00FB6E0F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proofErr w:type="spellStart"/>
      <w:r w:rsidR="00FB6E0F" w:rsidRPr="00FB6E0F">
        <w:rPr>
          <w:rFonts w:ascii="Times New Roman" w:eastAsia="Times New Roman" w:hAnsi="Times New Roman" w:cs="Times New Roman"/>
          <w:sz w:val="24"/>
          <w:szCs w:val="24"/>
          <w:lang w:eastAsia="pt-BR"/>
        </w:rPr>
        <w:t>market</w:t>
      </w:r>
      <w:proofErr w:type="spellEnd"/>
      <w:r w:rsidR="00FB6E0F" w:rsidRPr="00FB6E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(BTM)</w:t>
      </w:r>
      <w:r w:rsidR="00FB6E0F" w:rsidRPr="00FB6E0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B6E0F" w:rsidRPr="00FB6E0F" w:rsidRDefault="00FB6E0F" w:rsidP="00FB6E0F">
      <w:pPr>
        <w:spacing w:after="12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B6E0F" w:rsidRPr="00FB6E0F" w:rsidRDefault="00FB6E0F" w:rsidP="00FB6E0F">
      <w:pPr>
        <w:spacing w:after="12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6E0F">
        <w:rPr>
          <w:rFonts w:ascii="Times New Roman" w:eastAsia="Times New Roman" w:hAnsi="Times New Roman" w:cs="Times New Roman"/>
          <w:sz w:val="24"/>
          <w:szCs w:val="24"/>
          <w:lang w:eastAsia="pt-BR"/>
        </w:rPr>
        <w:t>Desejamos a todos uma ótima leitura.</w:t>
      </w:r>
    </w:p>
    <w:p w:rsidR="00FB6E0F" w:rsidRPr="00FB6E0F" w:rsidRDefault="00FB6E0F" w:rsidP="00FB6E0F">
      <w:pPr>
        <w:spacing w:after="12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B6E0F" w:rsidRPr="00FB6E0F" w:rsidRDefault="00FB6E0F" w:rsidP="00FB6E0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B6E0F">
        <w:rPr>
          <w:rFonts w:ascii="Times New Roman" w:hAnsi="Times New Roman" w:cs="Times New Roman"/>
          <w:b/>
          <w:bCs/>
          <w:sz w:val="24"/>
          <w:szCs w:val="24"/>
        </w:rPr>
        <w:t xml:space="preserve">Ivan </w:t>
      </w:r>
      <w:proofErr w:type="spellStart"/>
      <w:r w:rsidRPr="00FB6E0F">
        <w:rPr>
          <w:rFonts w:ascii="Times New Roman" w:hAnsi="Times New Roman" w:cs="Times New Roman"/>
          <w:b/>
          <w:bCs/>
          <w:sz w:val="24"/>
          <w:szCs w:val="24"/>
        </w:rPr>
        <w:t>Lapuente</w:t>
      </w:r>
      <w:proofErr w:type="spellEnd"/>
      <w:r w:rsidRPr="00FB6E0F">
        <w:rPr>
          <w:rFonts w:ascii="Times New Roman" w:hAnsi="Times New Roman" w:cs="Times New Roman"/>
          <w:b/>
          <w:bCs/>
          <w:sz w:val="24"/>
          <w:szCs w:val="24"/>
        </w:rPr>
        <w:t xml:space="preserve"> Garrido </w:t>
      </w:r>
    </w:p>
    <w:p w:rsidR="00FB6E0F" w:rsidRPr="00FB6E0F" w:rsidRDefault="00FB6E0F" w:rsidP="00FB6E0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B6E0F">
        <w:rPr>
          <w:rFonts w:ascii="Times New Roman" w:hAnsi="Times New Roman" w:cs="Times New Roman"/>
          <w:b/>
          <w:bCs/>
          <w:sz w:val="24"/>
          <w:szCs w:val="24"/>
        </w:rPr>
        <w:t xml:space="preserve">Roberto Frota </w:t>
      </w:r>
      <w:proofErr w:type="spellStart"/>
      <w:r w:rsidRPr="00FB6E0F">
        <w:rPr>
          <w:rFonts w:ascii="Times New Roman" w:hAnsi="Times New Roman" w:cs="Times New Roman"/>
          <w:b/>
          <w:bCs/>
          <w:sz w:val="24"/>
          <w:szCs w:val="24"/>
        </w:rPr>
        <w:t>Decourt</w:t>
      </w:r>
      <w:proofErr w:type="spellEnd"/>
      <w:r w:rsidRPr="00FB6E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D3527" w:rsidRPr="00FB6E0F" w:rsidRDefault="00FB6E0F" w:rsidP="00FB6E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B6E0F">
        <w:rPr>
          <w:rFonts w:ascii="Times New Roman" w:hAnsi="Times New Roman" w:cs="Times New Roman"/>
          <w:b/>
          <w:bCs/>
          <w:sz w:val="24"/>
          <w:szCs w:val="24"/>
        </w:rPr>
        <w:t>Editores</w:t>
      </w:r>
    </w:p>
    <w:sectPr w:rsidR="00DD3527" w:rsidRPr="00FB6E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0NTQzMTAysjQBspR0lIJTi4sz8/NACgxrAW8NXJUsAAAA"/>
  </w:docVars>
  <w:rsids>
    <w:rsidRoot w:val="00DD3527"/>
    <w:rsid w:val="000E2B9A"/>
    <w:rsid w:val="0017580F"/>
    <w:rsid w:val="00DD3527"/>
    <w:rsid w:val="00FB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E95"/>
  <w15:chartTrackingRefBased/>
  <w15:docId w15:val="{45B1DA57-5C90-4FA2-BACA-B9B3D493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3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2020-03-31T18:07:00Z</dcterms:created>
  <dcterms:modified xsi:type="dcterms:W3CDTF">2020-03-31T18:28:00Z</dcterms:modified>
</cp:coreProperties>
</file>